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BA" w:rsidRDefault="009F0466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D278BA" w:rsidRDefault="009F0466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D278BA" w:rsidRDefault="00D278BA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D278BA" w:rsidRDefault="009F0466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>นายชนพัฒน์ เห็มทอง</w:t>
      </w:r>
      <w:bookmarkEnd w:id="0"/>
    </w:p>
    <w:p w:rsidR="00D278BA" w:rsidRDefault="009F0466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278BA" w:rsidRDefault="009F046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24.00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24.00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278BA" w:rsidRDefault="009F046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3.60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3.60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D278BA" w:rsidRDefault="009F0466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278BA" w:rsidRDefault="009F046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3.60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3.60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278BA" w:rsidRDefault="009F046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3.60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3.60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278BA" w:rsidRDefault="009F046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278BA" w:rsidRDefault="009F046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278BA" w:rsidRDefault="009F046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20.40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20.40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278BA" w:rsidRDefault="00D278B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278BA" w:rsidRDefault="009F046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20.40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20.40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278BA" w:rsidRDefault="009F046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หากจำนวนมา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กกว่าศูนย์ มีส่วนต่าง จำนวน ............................. บาท จะได้รับการบรรเทาภาระภาษี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D278BA" w:rsidRDefault="009F046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20.40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20.40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D278BA" w:rsidRDefault="00D278BA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D278BA" w:rsidRDefault="00D278BA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D278BA" w:rsidRDefault="009F0466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D278BA" w:rsidRDefault="009F046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D278BA" w:rsidRDefault="00D278BA"/>
    <w:sectPr w:rsidR="00D278BA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BA"/>
    <w:rsid w:val="009F0466"/>
    <w:rsid w:val="00D2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2023-06-28T02:53:00Z</dcterms:created>
  <dcterms:modified xsi:type="dcterms:W3CDTF">2023-06-28T02:53:00Z</dcterms:modified>
</cp:coreProperties>
</file>